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E0" w:rsidRPr="00F51EE0" w:rsidRDefault="00F51EE0" w:rsidP="00F51EE0">
      <w:pPr>
        <w:widowControl/>
        <w:shd w:val="clear" w:color="auto" w:fill="FFFFFF"/>
        <w:jc w:val="center"/>
        <w:rPr>
          <w:rFonts w:ascii="微软雅黑" w:eastAsia="微软雅黑" w:hAnsi="微软雅黑" w:cs="宋体"/>
          <w:color w:val="333333"/>
          <w:spacing w:val="15"/>
          <w:kern w:val="0"/>
          <w:szCs w:val="21"/>
        </w:rPr>
      </w:pPr>
      <w:r w:rsidRPr="00F51EE0">
        <w:rPr>
          <w:rFonts w:ascii="宋体" w:eastAsia="宋体" w:hAnsi="宋体" w:cs="宋体" w:hint="eastAsia"/>
          <w:color w:val="000000"/>
          <w:spacing w:val="15"/>
          <w:kern w:val="0"/>
          <w:sz w:val="18"/>
          <w:szCs w:val="18"/>
        </w:rPr>
        <w:t>盐城市基本公共文化服务保障标准</w:t>
      </w:r>
    </w:p>
    <w:p w:rsidR="00F51EE0" w:rsidRPr="00F51EE0" w:rsidRDefault="00F51EE0" w:rsidP="00F51EE0">
      <w:pPr>
        <w:widowControl/>
        <w:shd w:val="clear" w:color="auto" w:fill="FFFFFF"/>
        <w:jc w:val="center"/>
        <w:rPr>
          <w:rFonts w:ascii="微软雅黑" w:eastAsia="微软雅黑" w:hAnsi="微软雅黑" w:cs="宋体" w:hint="eastAsia"/>
          <w:color w:val="333333"/>
          <w:spacing w:val="15"/>
          <w:kern w:val="0"/>
          <w:szCs w:val="21"/>
        </w:rPr>
      </w:pPr>
      <w:r w:rsidRPr="00F51EE0">
        <w:rPr>
          <w:rFonts w:ascii="宋体" w:eastAsia="宋体" w:hAnsi="宋体" w:cs="宋体" w:hint="eastAsia"/>
          <w:color w:val="000000"/>
          <w:spacing w:val="15"/>
          <w:kern w:val="0"/>
          <w:sz w:val="18"/>
          <w:szCs w:val="18"/>
        </w:rPr>
        <w:t>（2017-2020年）</w:t>
      </w:r>
    </w:p>
    <w:p w:rsidR="00F51EE0" w:rsidRPr="00F51EE0" w:rsidRDefault="00F51EE0" w:rsidP="00F51EE0">
      <w:pPr>
        <w:widowControl/>
        <w:shd w:val="clear" w:color="auto" w:fill="FFFFFF"/>
        <w:jc w:val="left"/>
        <w:rPr>
          <w:rFonts w:ascii="微软雅黑" w:eastAsia="微软雅黑" w:hAnsi="微软雅黑" w:cs="宋体" w:hint="eastAsia"/>
          <w:color w:val="333333"/>
          <w:spacing w:val="15"/>
          <w:kern w:val="0"/>
          <w:szCs w:val="21"/>
        </w:rPr>
      </w:pPr>
      <w:r w:rsidRPr="00F51EE0">
        <w:rPr>
          <w:rFonts w:ascii="宋体" w:eastAsia="宋体" w:hAnsi="宋体" w:cs="宋体" w:hint="eastAsia"/>
          <w:b/>
          <w:bCs/>
          <w:color w:val="000000"/>
          <w:spacing w:val="15"/>
          <w:kern w:val="0"/>
          <w:sz w:val="18"/>
          <w:szCs w:val="18"/>
        </w:rPr>
        <w:t> </w:t>
      </w:r>
    </w:p>
    <w:p w:rsidR="00F51EE0" w:rsidRPr="00F51EE0" w:rsidRDefault="00F51EE0" w:rsidP="00F51EE0">
      <w:pPr>
        <w:widowControl/>
        <w:shd w:val="clear" w:color="auto" w:fill="FFFFFF"/>
        <w:jc w:val="left"/>
        <w:rPr>
          <w:rFonts w:ascii="微软雅黑" w:eastAsia="微软雅黑" w:hAnsi="微软雅黑" w:cs="宋体" w:hint="eastAsia"/>
          <w:color w:val="333333"/>
          <w:spacing w:val="15"/>
          <w:kern w:val="0"/>
          <w:szCs w:val="21"/>
        </w:rPr>
      </w:pPr>
      <w:r w:rsidRPr="00F51EE0">
        <w:rPr>
          <w:rFonts w:ascii="宋体" w:eastAsia="宋体" w:hAnsi="宋体" w:cs="宋体" w:hint="eastAsia"/>
          <w:color w:val="000000"/>
          <w:spacing w:val="15"/>
          <w:kern w:val="0"/>
          <w:sz w:val="18"/>
          <w:szCs w:val="18"/>
        </w:rPr>
        <w:t>一、设施保障标准</w:t>
      </w:r>
    </w:p>
    <w:tbl>
      <w:tblPr>
        <w:tblW w:w="83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tblPr>
      <w:tblGrid>
        <w:gridCol w:w="1685"/>
        <w:gridCol w:w="6665"/>
      </w:tblGrid>
      <w:tr w:rsidR="00F51EE0" w:rsidRPr="00F51EE0" w:rsidTr="00F51EE0">
        <w:trPr>
          <w:trHeight w:val="612"/>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288"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内容</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288"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标    准</w:t>
            </w:r>
          </w:p>
        </w:tc>
      </w:tr>
      <w:tr w:rsidR="00F51EE0" w:rsidRPr="00F51EE0" w:rsidTr="00F51EE0">
        <w:trPr>
          <w:trHeight w:val="1990"/>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公共图书馆</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w:t>
            </w:r>
            <w:r w:rsidRPr="00F51EE0">
              <w:rPr>
                <w:rFonts w:ascii="宋体" w:eastAsia="宋体" w:hAnsi="宋体" w:cs="宋体" w:hint="eastAsia"/>
                <w:color w:val="000000"/>
                <w:spacing w:val="15"/>
                <w:kern w:val="0"/>
                <w:sz w:val="18"/>
                <w:szCs w:val="18"/>
                <w:shd w:val="clear" w:color="auto" w:fill="FFFFFF"/>
              </w:rPr>
              <w:t>县（市、区）级以上（含县级，下同）按照国家颁布的建设标准等规划建设公共图书馆。</w:t>
            </w:r>
            <w:r w:rsidRPr="00F51EE0">
              <w:rPr>
                <w:rFonts w:ascii="宋体" w:eastAsia="宋体" w:hAnsi="宋体" w:cs="宋体" w:hint="eastAsia"/>
                <w:color w:val="000000"/>
                <w:spacing w:val="15"/>
                <w:kern w:val="0"/>
                <w:sz w:val="18"/>
                <w:szCs w:val="18"/>
              </w:rPr>
              <w:t>市区设立建筑面积2万平方米以上的国家一级图书馆；县（市、区）设立建筑面积6000平方米以上的国家一级图书馆。每个乡镇（街道）均设立图书馆分馆，每个村（社区）均设立图书阅览室。</w:t>
            </w:r>
          </w:p>
        </w:tc>
      </w:tr>
      <w:tr w:rsidR="00F51EE0" w:rsidRPr="00F51EE0" w:rsidTr="00F51EE0">
        <w:trPr>
          <w:trHeight w:val="1710"/>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文化馆</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w:t>
            </w:r>
            <w:r w:rsidRPr="00F51EE0">
              <w:rPr>
                <w:rFonts w:ascii="宋体" w:eastAsia="宋体" w:hAnsi="宋体" w:cs="宋体" w:hint="eastAsia"/>
                <w:color w:val="000000"/>
                <w:spacing w:val="15"/>
                <w:kern w:val="0"/>
                <w:sz w:val="18"/>
                <w:szCs w:val="18"/>
                <w:shd w:val="clear" w:color="auto" w:fill="FFFFFF"/>
              </w:rPr>
              <w:t>县（市、区）级以上按照国家颁布的建设标准等规划建设文化馆。</w:t>
            </w:r>
            <w:r w:rsidRPr="00F51EE0">
              <w:rPr>
                <w:rFonts w:ascii="宋体" w:eastAsia="宋体" w:hAnsi="宋体" w:cs="宋体" w:hint="eastAsia"/>
                <w:color w:val="000000"/>
                <w:spacing w:val="15"/>
                <w:kern w:val="0"/>
                <w:sz w:val="18"/>
                <w:szCs w:val="18"/>
              </w:rPr>
              <w:t>市区设立建筑面积8000平方米以上的国家一级文化馆，室外活动场地不低于1500平方米；县（市、区）设立建筑面积3000平方米以上的国家一级文化馆，室外活动场地不低于1000平方米。</w:t>
            </w:r>
          </w:p>
        </w:tc>
      </w:tr>
      <w:tr w:rsidR="00F51EE0" w:rsidRPr="00F51EE0" w:rsidTr="00F51EE0">
        <w:trPr>
          <w:trHeight w:val="1489"/>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hint="eastAsia"/>
                <w:color w:val="000000"/>
                <w:spacing w:val="15"/>
                <w:kern w:val="0"/>
                <w:sz w:val="24"/>
                <w:szCs w:val="24"/>
              </w:rPr>
            </w:pPr>
            <w:r w:rsidRPr="00F51EE0">
              <w:rPr>
                <w:rFonts w:ascii="宋体" w:eastAsia="宋体" w:hAnsi="宋体" w:cs="宋体" w:hint="eastAsia"/>
                <w:color w:val="000000"/>
                <w:spacing w:val="15"/>
                <w:kern w:val="0"/>
                <w:sz w:val="18"/>
                <w:szCs w:val="18"/>
              </w:rPr>
              <w:t>博物馆</w:t>
            </w:r>
          </w:p>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美术馆</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3．市区建设综合博物馆、公共美术馆；县级在辖区内设立1座以上（含1座，下同）公共博物馆（非遗馆）或纪念馆，有条件的设立公共美术馆，依据国家有关标准进行规划建设。</w:t>
            </w:r>
          </w:p>
        </w:tc>
      </w:tr>
      <w:tr w:rsidR="00F51EE0" w:rsidRPr="00F51EE0" w:rsidTr="00F51EE0">
        <w:trPr>
          <w:trHeight w:val="2362"/>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乡镇（街道）综合文化服务中心</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4．乡镇（街道）设立1座以上综合文化服务中心，乡镇（街道）合并后的原有文化服务中心应作为现乡镇（街道）文化设施使用。具备条件的乡镇（街道）综合文化服务中心可升格为文化馆，有条件的可配套建设乡镇数字电影院（厅）。</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乡镇（街道）综合文化服务中心建筑面积不低于500平方米，室外文化广场面积不低于500平方米。</w:t>
            </w:r>
          </w:p>
        </w:tc>
      </w:tr>
      <w:tr w:rsidR="00F51EE0" w:rsidRPr="00F51EE0" w:rsidTr="00F51EE0">
        <w:trPr>
          <w:trHeight w:val="1757"/>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村（社区）综合文化服务中心</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5．整合基层公共服务设施资源，在村（社区）统筹建设综合文化服务中心（含农家书屋、社区书屋、村广播室，下同），因地制宜配置文体器材。通过建设综合文化服务中心、数字电影固定放映点、农家书屋、特色文化家庭等实现农村“十里文化圈”。</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村（社区）综合文化服务中心建筑面积不低于300平方米，其中以县（市、区）级图书馆总分馆为主要内容的文化活动室不得小于80平方米，室外活动场地不低于300平方米。</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6.新建、改建、扩建居民住宅区，应建设相配套的公共文化设施，从住房开发投资中投入经费用于社区公共文化设施建设。</w:t>
            </w:r>
          </w:p>
        </w:tc>
      </w:tr>
      <w:tr w:rsidR="00F51EE0" w:rsidRPr="00F51EE0" w:rsidTr="00F51EE0">
        <w:trPr>
          <w:trHeight w:val="891"/>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hint="eastAsia"/>
                <w:color w:val="000000"/>
                <w:spacing w:val="15"/>
                <w:kern w:val="0"/>
                <w:sz w:val="24"/>
                <w:szCs w:val="24"/>
              </w:rPr>
            </w:pPr>
            <w:r w:rsidRPr="00F51EE0">
              <w:rPr>
                <w:rFonts w:ascii="宋体" w:eastAsia="宋体" w:hAnsi="宋体" w:cs="宋体" w:hint="eastAsia"/>
                <w:color w:val="000000"/>
                <w:spacing w:val="15"/>
                <w:kern w:val="0"/>
                <w:sz w:val="18"/>
                <w:szCs w:val="18"/>
              </w:rPr>
              <w:t>新闻出版</w:t>
            </w:r>
          </w:p>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设施</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7．在城区和乡镇集镇区人流密集地点规划和建设“盐渎书吧”50个、书报亭500个、多媒体阅报屏500个。</w:t>
            </w:r>
          </w:p>
        </w:tc>
      </w:tr>
      <w:tr w:rsidR="00F51EE0" w:rsidRPr="00F51EE0" w:rsidTr="00F51EE0">
        <w:trPr>
          <w:trHeight w:val="1361"/>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lastRenderedPageBreak/>
              <w:t>广电设施</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8．市、县设立广播电视播出机构和广播电视发射（监测）台，按照广播电视工程建设标准等进行建设。乡镇设立广播电视站，村设立广播室，可与综合文化服务中心统筹安排。</w:t>
            </w:r>
          </w:p>
        </w:tc>
      </w:tr>
      <w:tr w:rsidR="00F51EE0" w:rsidRPr="00F51EE0" w:rsidTr="00F51EE0">
        <w:trPr>
          <w:trHeight w:val="1074"/>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hint="eastAsia"/>
                <w:color w:val="000000"/>
                <w:spacing w:val="15"/>
                <w:kern w:val="0"/>
                <w:sz w:val="24"/>
                <w:szCs w:val="24"/>
              </w:rPr>
            </w:pPr>
            <w:r w:rsidRPr="00F51EE0">
              <w:rPr>
                <w:rFonts w:ascii="宋体" w:eastAsia="宋体" w:hAnsi="宋体" w:cs="宋体" w:hint="eastAsia"/>
                <w:color w:val="000000"/>
                <w:spacing w:val="15"/>
                <w:kern w:val="0"/>
                <w:sz w:val="18"/>
                <w:szCs w:val="18"/>
              </w:rPr>
              <w:t>流动文化</w:t>
            </w:r>
          </w:p>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设施</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9．市、县（市、区）公共文化机构配备用于图书借阅、文艺演出、电影放映等服务的流动文化车，开展流动文化服务。</w:t>
            </w:r>
          </w:p>
        </w:tc>
      </w:tr>
      <w:tr w:rsidR="00F51EE0" w:rsidRPr="00F51EE0" w:rsidTr="00F51EE0">
        <w:trPr>
          <w:trHeight w:val="1450"/>
          <w:jc w:val="center"/>
        </w:trPr>
        <w:tc>
          <w:tcPr>
            <w:tcW w:w="168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hint="eastAsia"/>
                <w:color w:val="000000"/>
                <w:spacing w:val="15"/>
                <w:kern w:val="0"/>
                <w:sz w:val="24"/>
                <w:szCs w:val="24"/>
              </w:rPr>
            </w:pPr>
            <w:r w:rsidRPr="00F51EE0">
              <w:rPr>
                <w:rFonts w:ascii="宋体" w:eastAsia="宋体" w:hAnsi="宋体" w:cs="宋体" w:hint="eastAsia"/>
                <w:color w:val="000000"/>
                <w:spacing w:val="15"/>
                <w:kern w:val="0"/>
                <w:sz w:val="18"/>
                <w:szCs w:val="18"/>
              </w:rPr>
              <w:t>辅助设施</w:t>
            </w:r>
          </w:p>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设备</w:t>
            </w:r>
          </w:p>
        </w:tc>
        <w:tc>
          <w:tcPr>
            <w:tcW w:w="6665" w:type="dxa"/>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10.各级公共文化设施为残疾人配备无障碍设施，有条件的配备安全检查设备。</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11.公共文化场所设置弘扬社会主义核心价值观公益广告。</w:t>
            </w:r>
          </w:p>
        </w:tc>
      </w:tr>
    </w:tbl>
    <w:p w:rsidR="00F51EE0" w:rsidRPr="00F51EE0" w:rsidRDefault="00F51EE0" w:rsidP="00F51EE0">
      <w:pPr>
        <w:widowControl/>
        <w:shd w:val="clear" w:color="auto" w:fill="FFFFFF"/>
        <w:jc w:val="left"/>
        <w:rPr>
          <w:rFonts w:ascii="微软雅黑" w:eastAsia="微软雅黑" w:hAnsi="微软雅黑" w:cs="宋体" w:hint="eastAsia"/>
          <w:color w:val="333333"/>
          <w:spacing w:val="15"/>
          <w:kern w:val="0"/>
          <w:szCs w:val="21"/>
        </w:rPr>
      </w:pPr>
      <w:r w:rsidRPr="00F51EE0">
        <w:rPr>
          <w:rFonts w:ascii="宋体" w:eastAsia="宋体" w:hAnsi="宋体" w:cs="宋体" w:hint="eastAsia"/>
          <w:b/>
          <w:bCs/>
          <w:color w:val="000000"/>
          <w:spacing w:val="15"/>
          <w:kern w:val="0"/>
          <w:sz w:val="18"/>
          <w:szCs w:val="18"/>
        </w:rPr>
        <w:t> </w:t>
      </w:r>
    </w:p>
    <w:p w:rsidR="00F51EE0" w:rsidRPr="00F51EE0" w:rsidRDefault="00F51EE0" w:rsidP="00F51EE0">
      <w:pPr>
        <w:widowControl/>
        <w:shd w:val="clear" w:color="auto" w:fill="FFFFFF"/>
        <w:jc w:val="left"/>
        <w:rPr>
          <w:rFonts w:ascii="微软雅黑" w:eastAsia="微软雅黑" w:hAnsi="微软雅黑" w:cs="宋体" w:hint="eastAsia"/>
          <w:color w:val="333333"/>
          <w:spacing w:val="15"/>
          <w:kern w:val="0"/>
          <w:szCs w:val="21"/>
        </w:rPr>
      </w:pPr>
      <w:r w:rsidRPr="00F51EE0">
        <w:rPr>
          <w:rFonts w:ascii="宋体" w:eastAsia="宋体" w:hAnsi="宋体" w:cs="宋体" w:hint="eastAsia"/>
          <w:b/>
          <w:bCs/>
          <w:color w:val="000000"/>
          <w:spacing w:val="15"/>
          <w:kern w:val="0"/>
          <w:sz w:val="18"/>
          <w:szCs w:val="18"/>
        </w:rPr>
        <w:t>    </w:t>
      </w:r>
      <w:r w:rsidRPr="00F51EE0">
        <w:rPr>
          <w:rFonts w:ascii="宋体" w:eastAsia="宋体" w:hAnsi="宋体" w:cs="宋体" w:hint="eastAsia"/>
          <w:color w:val="000000"/>
          <w:spacing w:val="15"/>
          <w:kern w:val="0"/>
          <w:sz w:val="18"/>
          <w:szCs w:val="18"/>
        </w:rPr>
        <w:t>二、服务项目标准</w:t>
      </w:r>
    </w:p>
    <w:tbl>
      <w:tblPr>
        <w:tblW w:w="8328" w:type="dxa"/>
        <w:jc w:val="center"/>
        <w:shd w:val="clear" w:color="auto" w:fill="FFFFFF"/>
        <w:tblCellMar>
          <w:top w:w="15" w:type="dxa"/>
          <w:left w:w="15" w:type="dxa"/>
          <w:bottom w:w="15" w:type="dxa"/>
          <w:right w:w="15" w:type="dxa"/>
        </w:tblCellMar>
        <w:tblLook w:val="04A0"/>
      </w:tblPr>
      <w:tblGrid>
        <w:gridCol w:w="1470"/>
        <w:gridCol w:w="6858"/>
      </w:tblGrid>
      <w:tr w:rsidR="00F51EE0" w:rsidRPr="00F51EE0" w:rsidTr="00F51EE0">
        <w:trPr>
          <w:trHeight w:val="492"/>
          <w:jc w:val="center"/>
        </w:trPr>
        <w:tc>
          <w:tcPr>
            <w:tcW w:w="14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6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内容</w:t>
            </w:r>
          </w:p>
        </w:tc>
        <w:tc>
          <w:tcPr>
            <w:tcW w:w="68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6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标      准</w:t>
            </w:r>
          </w:p>
        </w:tc>
      </w:tr>
      <w:tr w:rsidR="00F51EE0" w:rsidRPr="00F51EE0" w:rsidTr="00F51EE0">
        <w:trPr>
          <w:trHeight w:val="5087"/>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读书看报</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12.公共图书馆、文化馆（站）和乡镇（街道）、村（社区）综合文化服务中心（含农家书屋、社区书屋）等配备图书、报刊和电子书刊，免费提供图书、报刊借阅服务。采取总分馆制等方式，实现公共图书流动共享、通借通还。</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13.县级公共图书馆人均藏书量不低于1.2册，人均年新增图书藏量不少于0.06册；乡镇（街道）综合文化服务中心图书藏量不少于1万册，报刊不少于20种，年新增书不少于200册；村（社区）综合文化服务中心藏书量不少于1500册，报刊不少于10种，年新增图书不少于100册。</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14.市、县（市、区）政府每年举办读书节（阅读节、读书月、书展）等全民阅读活动不少于1次。</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15.在城镇主要街道、公共场所、居民小区等人流密集地点设置阅报栏或电子阅报屏，提供时政、“三农”、科普、文化、生活等方面信息服务，并每天进行更新。</w:t>
            </w:r>
          </w:p>
        </w:tc>
      </w:tr>
      <w:tr w:rsidR="00F51EE0" w:rsidRPr="00F51EE0" w:rsidTr="00F51EE0">
        <w:trPr>
          <w:trHeight w:val="1751"/>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收听广播</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16.加快城乡应急广播体系建设，为群众提供突发事件应急广播服务。</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17.通过直播卫星提供不少于17套广播节目，通过无线模拟提供不少于6套广播节目，通过数字音频提供不少于15套广播节目。</w:t>
            </w:r>
          </w:p>
        </w:tc>
      </w:tr>
      <w:tr w:rsidR="00F51EE0" w:rsidRPr="00F51EE0" w:rsidTr="00F51EE0">
        <w:trPr>
          <w:trHeight w:val="1234"/>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观看电视</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18.通过直播卫星提供25套电视节目，通过地面数字电视提供不少于15套电视节目。未完成数字化转换的地区，提供不少于5套电视节目。</w:t>
            </w:r>
          </w:p>
        </w:tc>
      </w:tr>
      <w:tr w:rsidR="00F51EE0" w:rsidRPr="00F51EE0" w:rsidTr="00F51EE0">
        <w:trPr>
          <w:trHeight w:val="1868"/>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lastRenderedPageBreak/>
              <w:t>观赏电影</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19.为农村群众提供数字电影放映服务，每个村每个月放映1场以上群众点播的电影，其中国产新片（院线上映不超过2年）比例不少于1/3，乡镇数字电影院每周安排低价场次或公益放映场次不少于1场。</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20.为中小学生每学期提供2部爱国主义教育影片。</w:t>
            </w:r>
          </w:p>
        </w:tc>
      </w:tr>
      <w:tr w:rsidR="00F51EE0" w:rsidRPr="00F51EE0" w:rsidTr="00F51EE0">
        <w:trPr>
          <w:trHeight w:val="2169"/>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送戏下乡</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21.根据群众实际需要，采取政府购买等形式，市属文艺院团每年为基层免费送戏曲等文艺演出不少于100场；县级文化部门组织辖区内各文艺团体每年分别为基层免费送戏曲等文艺演出不少于50场；乡镇（街道）综合文化站每年免费为老百姓送戏曲等文艺演出不少于10场。</w:t>
            </w:r>
          </w:p>
        </w:tc>
      </w:tr>
      <w:tr w:rsidR="00F51EE0" w:rsidRPr="00F51EE0" w:rsidTr="00F51EE0">
        <w:trPr>
          <w:trHeight w:val="2180"/>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设施开放</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22.公共图书馆、文化馆（站）、博物馆（非文物建筑及遗址类）、美术馆等公共文化设施免费开放，基本服务项目健全。</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23.未成年人、老年人、现役军人、残疾人和低收入人群参观文物建筑及遗址类博物馆实行门票减免，文化遗产日免费参观。</w:t>
            </w:r>
          </w:p>
        </w:tc>
      </w:tr>
      <w:tr w:rsidR="00F51EE0" w:rsidRPr="00F51EE0" w:rsidTr="00F51EE0">
        <w:trPr>
          <w:trHeight w:val="3063"/>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文体活动</w:t>
            </w:r>
          </w:p>
        </w:tc>
        <w:tc>
          <w:tcPr>
            <w:tcW w:w="6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24.城乡居民依托乡镇（街道）、村（社区）综合文化服务中心、文体广场、公园、健身路径等公共设施就近方便参加各类文体活动。</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25.各级实施免费开放的公共文化机构服务项目健全，提供文化培训、文艺辅导等文化艺术知识普及和鉴赏服务，错时开放时间不低于总开放时间的1/3。</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26.文化馆和乡镇（街道）、村（社区）综合文化服务中心每年组织开展文体活动不少于6次。</w:t>
            </w:r>
          </w:p>
        </w:tc>
      </w:tr>
    </w:tbl>
    <w:p w:rsidR="00F51EE0" w:rsidRPr="00F51EE0" w:rsidRDefault="00F51EE0" w:rsidP="00F51EE0">
      <w:pPr>
        <w:widowControl/>
        <w:shd w:val="clear" w:color="auto" w:fill="FFFFFF"/>
        <w:jc w:val="left"/>
        <w:rPr>
          <w:rFonts w:ascii="微软雅黑" w:eastAsia="微软雅黑" w:hAnsi="微软雅黑" w:cs="宋体" w:hint="eastAsia"/>
          <w:color w:val="333333"/>
          <w:spacing w:val="15"/>
          <w:kern w:val="0"/>
          <w:szCs w:val="21"/>
        </w:rPr>
      </w:pPr>
      <w:r w:rsidRPr="00F51EE0">
        <w:rPr>
          <w:rFonts w:ascii="宋体" w:eastAsia="宋体" w:hAnsi="宋体" w:cs="宋体" w:hint="eastAsia"/>
          <w:b/>
          <w:bCs/>
          <w:color w:val="000000"/>
          <w:spacing w:val="15"/>
          <w:kern w:val="0"/>
          <w:sz w:val="18"/>
          <w:szCs w:val="18"/>
        </w:rPr>
        <w:t> </w:t>
      </w:r>
    </w:p>
    <w:p w:rsidR="00F51EE0" w:rsidRPr="00F51EE0" w:rsidRDefault="00F51EE0" w:rsidP="00F51EE0">
      <w:pPr>
        <w:widowControl/>
        <w:shd w:val="clear" w:color="auto" w:fill="FFFFFF"/>
        <w:jc w:val="left"/>
        <w:rPr>
          <w:rFonts w:ascii="微软雅黑" w:eastAsia="微软雅黑" w:hAnsi="微软雅黑" w:cs="宋体" w:hint="eastAsia"/>
          <w:color w:val="333333"/>
          <w:spacing w:val="15"/>
          <w:kern w:val="0"/>
          <w:szCs w:val="21"/>
        </w:rPr>
      </w:pPr>
      <w:r w:rsidRPr="00F51EE0">
        <w:rPr>
          <w:rFonts w:ascii="宋体" w:eastAsia="宋体" w:hAnsi="宋体" w:cs="宋体" w:hint="eastAsia"/>
          <w:b/>
          <w:bCs/>
          <w:color w:val="000000"/>
          <w:spacing w:val="15"/>
          <w:kern w:val="0"/>
          <w:sz w:val="18"/>
          <w:szCs w:val="18"/>
        </w:rPr>
        <w:t>    </w:t>
      </w:r>
      <w:r w:rsidRPr="00F51EE0">
        <w:rPr>
          <w:rFonts w:ascii="宋体" w:eastAsia="宋体" w:hAnsi="宋体" w:cs="宋体" w:hint="eastAsia"/>
          <w:color w:val="000000"/>
          <w:spacing w:val="15"/>
          <w:kern w:val="0"/>
          <w:sz w:val="18"/>
          <w:szCs w:val="18"/>
        </w:rPr>
        <w:t>三、队伍建设</w:t>
      </w:r>
    </w:p>
    <w:tbl>
      <w:tblPr>
        <w:tblW w:w="8478" w:type="dxa"/>
        <w:jc w:val="center"/>
        <w:shd w:val="clear" w:color="auto" w:fill="FFFFFF"/>
        <w:tblCellMar>
          <w:top w:w="15" w:type="dxa"/>
          <w:left w:w="15" w:type="dxa"/>
          <w:bottom w:w="15" w:type="dxa"/>
          <w:right w:w="15" w:type="dxa"/>
        </w:tblCellMar>
        <w:tblLook w:val="04A0"/>
      </w:tblPr>
      <w:tblGrid>
        <w:gridCol w:w="1470"/>
        <w:gridCol w:w="7008"/>
      </w:tblGrid>
      <w:tr w:rsidR="00F51EE0" w:rsidRPr="00F51EE0" w:rsidTr="00F51EE0">
        <w:trPr>
          <w:trHeight w:val="690"/>
          <w:jc w:val="center"/>
        </w:trPr>
        <w:tc>
          <w:tcPr>
            <w:tcW w:w="14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内容</w:t>
            </w:r>
          </w:p>
        </w:tc>
        <w:tc>
          <w:tcPr>
            <w:tcW w:w="70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标    准</w:t>
            </w:r>
          </w:p>
        </w:tc>
      </w:tr>
      <w:tr w:rsidR="00F51EE0" w:rsidRPr="00F51EE0" w:rsidTr="00F51EE0">
        <w:trPr>
          <w:trHeight w:val="3157"/>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人员配置</w:t>
            </w:r>
          </w:p>
        </w:tc>
        <w:tc>
          <w:tcPr>
            <w:tcW w:w="7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27.市、县公共文化机构按照职能和工作任务合理配置工作人员。</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已经或即将实行将乡镇（街道）、村（社区）图书阅读管理纳入县级公共图书馆总分馆制的，可通过内部调剂、政府购买服务等方式予以解决。</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28.每个乡镇（街道）综合文化服务中心配备有编制人员不少于2人，规模较大的镇适当增加，实行持证上岗制度。</w:t>
            </w:r>
          </w:p>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29.每个行政村（社区）综合文化服务中心设有不少于1个政府购买的宣传文化公益岗位。</w:t>
            </w:r>
          </w:p>
        </w:tc>
      </w:tr>
      <w:tr w:rsidR="00F51EE0" w:rsidRPr="00F51EE0" w:rsidTr="00F51EE0">
        <w:trPr>
          <w:trHeight w:val="1190"/>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center"/>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lastRenderedPageBreak/>
              <w:t>人员培训</w:t>
            </w:r>
          </w:p>
        </w:tc>
        <w:tc>
          <w:tcPr>
            <w:tcW w:w="7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1EE0" w:rsidRPr="00F51EE0" w:rsidRDefault="00F51EE0" w:rsidP="00F51EE0">
            <w:pPr>
              <w:widowControl/>
              <w:spacing w:line="300" w:lineRule="atLeast"/>
              <w:jc w:val="left"/>
              <w:rPr>
                <w:rFonts w:ascii="宋体" w:eastAsia="宋体" w:hAnsi="宋体" w:cs="宋体"/>
                <w:color w:val="000000"/>
                <w:spacing w:val="15"/>
                <w:kern w:val="0"/>
                <w:sz w:val="24"/>
                <w:szCs w:val="24"/>
              </w:rPr>
            </w:pPr>
            <w:r w:rsidRPr="00F51EE0">
              <w:rPr>
                <w:rFonts w:ascii="宋体" w:eastAsia="宋体" w:hAnsi="宋体" w:cs="宋体" w:hint="eastAsia"/>
                <w:color w:val="000000"/>
                <w:spacing w:val="15"/>
                <w:kern w:val="0"/>
                <w:sz w:val="18"/>
                <w:szCs w:val="18"/>
              </w:rPr>
              <w:t>30.市、县公共文化服务机构从业人员每年参加培训时间不少于15天，乡镇（街道）、村（社区）综合文化服务中心管理人员每年参加培训时间不少于5天。</w:t>
            </w:r>
          </w:p>
        </w:tc>
      </w:tr>
    </w:tbl>
    <w:p w:rsidR="00FF0B9F" w:rsidRPr="00F51EE0" w:rsidRDefault="00FF0B9F" w:rsidP="00FF0B9F"/>
    <w:p w:rsidR="00FF0B9F" w:rsidRPr="00FF0B9F" w:rsidRDefault="00FF0B9F" w:rsidP="00FF0B9F"/>
    <w:p w:rsidR="00FF0B9F" w:rsidRPr="00FF0B9F" w:rsidRDefault="00FF0B9F" w:rsidP="00FF0B9F"/>
    <w:sectPr w:rsidR="00FF0B9F" w:rsidRPr="00FF0B9F" w:rsidSect="00F51E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759" w:rsidRDefault="00223759" w:rsidP="00A92E65">
      <w:r>
        <w:separator/>
      </w:r>
    </w:p>
  </w:endnote>
  <w:endnote w:type="continuationSeparator" w:id="0">
    <w:p w:rsidR="00223759" w:rsidRDefault="00223759" w:rsidP="00A92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759" w:rsidRDefault="00223759" w:rsidP="00A92E65">
      <w:r>
        <w:separator/>
      </w:r>
    </w:p>
  </w:footnote>
  <w:footnote w:type="continuationSeparator" w:id="0">
    <w:p w:rsidR="00223759" w:rsidRDefault="00223759" w:rsidP="00A92E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2E65"/>
    <w:rsid w:val="000D0E0E"/>
    <w:rsid w:val="00223759"/>
    <w:rsid w:val="006955A7"/>
    <w:rsid w:val="00A92E65"/>
    <w:rsid w:val="00B85957"/>
    <w:rsid w:val="00CF5CFC"/>
    <w:rsid w:val="00DA125A"/>
    <w:rsid w:val="00ED3202"/>
    <w:rsid w:val="00F51EE0"/>
    <w:rsid w:val="00FF0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5A"/>
    <w:pPr>
      <w:widowControl w:val="0"/>
      <w:jc w:val="both"/>
    </w:pPr>
  </w:style>
  <w:style w:type="paragraph" w:styleId="3">
    <w:name w:val="heading 3"/>
    <w:basedOn w:val="a"/>
    <w:link w:val="3Char"/>
    <w:uiPriority w:val="9"/>
    <w:qFormat/>
    <w:rsid w:val="00FF0B9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2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2E65"/>
    <w:rPr>
      <w:sz w:val="18"/>
      <w:szCs w:val="18"/>
    </w:rPr>
  </w:style>
  <w:style w:type="paragraph" w:styleId="a4">
    <w:name w:val="footer"/>
    <w:basedOn w:val="a"/>
    <w:link w:val="Char0"/>
    <w:uiPriority w:val="99"/>
    <w:semiHidden/>
    <w:unhideWhenUsed/>
    <w:rsid w:val="00A92E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2E65"/>
    <w:rPr>
      <w:sz w:val="18"/>
      <w:szCs w:val="18"/>
    </w:rPr>
  </w:style>
  <w:style w:type="paragraph" w:styleId="a5">
    <w:name w:val="Balloon Text"/>
    <w:basedOn w:val="a"/>
    <w:link w:val="Char1"/>
    <w:uiPriority w:val="99"/>
    <w:semiHidden/>
    <w:unhideWhenUsed/>
    <w:rsid w:val="00A92E65"/>
    <w:rPr>
      <w:sz w:val="18"/>
      <w:szCs w:val="18"/>
    </w:rPr>
  </w:style>
  <w:style w:type="character" w:customStyle="1" w:styleId="Char1">
    <w:name w:val="批注框文本 Char"/>
    <w:basedOn w:val="a0"/>
    <w:link w:val="a5"/>
    <w:uiPriority w:val="99"/>
    <w:semiHidden/>
    <w:rsid w:val="00A92E65"/>
    <w:rPr>
      <w:sz w:val="18"/>
      <w:szCs w:val="18"/>
    </w:rPr>
  </w:style>
  <w:style w:type="character" w:customStyle="1" w:styleId="3Char">
    <w:name w:val="标题 3 Char"/>
    <w:basedOn w:val="a0"/>
    <w:link w:val="3"/>
    <w:uiPriority w:val="9"/>
    <w:rsid w:val="00FF0B9F"/>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138767406">
      <w:bodyDiv w:val="1"/>
      <w:marLeft w:val="0"/>
      <w:marRight w:val="0"/>
      <w:marTop w:val="0"/>
      <w:marBottom w:val="0"/>
      <w:divBdr>
        <w:top w:val="none" w:sz="0" w:space="0" w:color="auto"/>
        <w:left w:val="none" w:sz="0" w:space="0" w:color="auto"/>
        <w:bottom w:val="none" w:sz="0" w:space="0" w:color="auto"/>
        <w:right w:val="none" w:sz="0" w:space="0" w:color="auto"/>
      </w:divBdr>
    </w:div>
    <w:div w:id="1504127146">
      <w:bodyDiv w:val="1"/>
      <w:marLeft w:val="0"/>
      <w:marRight w:val="0"/>
      <w:marTop w:val="0"/>
      <w:marBottom w:val="0"/>
      <w:divBdr>
        <w:top w:val="none" w:sz="0" w:space="0" w:color="auto"/>
        <w:left w:val="none" w:sz="0" w:space="0" w:color="auto"/>
        <w:bottom w:val="none" w:sz="0" w:space="0" w:color="auto"/>
        <w:right w:val="none" w:sz="0" w:space="0" w:color="auto"/>
      </w:divBdr>
    </w:div>
    <w:div w:id="17962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379</Words>
  <Characters>2163</Characters>
  <Application>Microsoft Office Word</Application>
  <DocSecurity>0</DocSecurity>
  <Lines>18</Lines>
  <Paragraphs>5</Paragraphs>
  <ScaleCrop>false</ScaleCrop>
  <Company>Microsoft</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2018-11-25T05:20:00Z</dcterms:created>
  <dcterms:modified xsi:type="dcterms:W3CDTF">2018-11-25T05:20:00Z</dcterms:modified>
</cp:coreProperties>
</file>